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'Seismisch onderzoek geothermie binnen grondgebied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14-Raadsinformatiebrief-Seismisch-onderzoek-geothermie-binnen-grondgebied-gemeente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'Rapportage Ferm Werk over Q1 en de maanden april en mei'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14-Raadsinformatiebrief-Rapportage-Ferm-Werk-over-Q1-en-de-maanden-april-en-mei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'Sportakkoord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7-14-Raadsinformatiebrief-Sportakkoord-Oudewate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'Pilot vereenvoudiging jeugdbescherming, de impact van corona op veiligheid in gezinnen en de voortgangsrapportage Veranderagenda SVMN'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14-Raadsinformatiebrief-Pilot-vereenvoudiging-jeugdbescherming-de-impact-van-corona-op-veiligheid-in-gezinnen-en-de-voortgangsrapportage-Veranderagenda-SVM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'Jaarverslag RBL en evaluatie Jongeren in Participatie (JiP)'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14-Raadsinformatiebrief-Jaarverslag-RBL-en-evaluatie-Jongeren-in-Participatie-JiP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'Motie Verpleegbedden d.d. 7 november 2019'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14-Raadsinformatiebrief-Motie-Verpleegbedden-d-d-7-november-2019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'Algemene uitkering gemeentefonds meicirculaire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12-07-2020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10-Raadsinformatiebrief-Algemene-uitkering-gemeentefonds-meicirculaire-gemeente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'Second opinion financiële onderbouwing stedenbouwkundige visie Westerwal'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7-07-Raadsinformatiebrief-Second-opinion-financiele-onderbouwing-stedenbouwkundige-visie-Westerw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'Rapportage KPI Archiefzorg 2019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30-Raadsinformatiebrief-Rapportage-KPI-Archiefzorg-2019-gemeente-Oudewater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'Pilot Bodycams'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912,68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30-Raadsinformatiebrief-Pilot-Bodycams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7" meta:character-count="1218" meta:non-whitespace-character-count="1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