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'Implementatie van het Grondstoffenbeleidsplan 2019 – 2022 en de financiële ontwikkelingen bij het verwerken van afval'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implementatie-van-het-grondstoffenbeleidsplan-2019-2022-en-de-financiele-ontwikkelingen-bij-het-verwerken-van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'Implementatie van de Wet verplichte geestelijke gezondheidszorg (Wvggz)'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implementatie-van-de-wet-verplichte-geestelijke-gezondheidszorg-wvg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'Voortgang stedenbouwkundige visie locatie Westerwal' (LIS Raad 13-02-2020)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voortgang-stedenbouwkundige-visie-locatie-wester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'Nieuwe MOR-applicatie succesvol'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2-19-raadsinformatiebrief-nieuwe-mor-applicatie-succesv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'Bestuurlijk Overleg Meerjarenprogramma Infrastructuur, Ruimte en Transport (BO MIRT)'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bestuurlijk-overleg-meerjarenprogramma-infrastructuur-ruimte-en-transport-bo-mir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'Rapportage Q3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rapportage-q3-ferm-werk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'Stimuleringsregeling afkoppelen hemelwater en aanleg groene daken'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stimuleringsregeling-afkoppelen-hemelwater-en-aanleg-groene-dak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'Stand van zaken pluimveehouderij Wiltenburg'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03-raadsinformatiebrief-stand-van-zaken-pluimveehouderij-wilten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3" meta:character-count="1061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