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'Implementatie van het Grondstoffenbeleidsplan 2019 – 2022 en de financiële ontwikkelingen bij het verwerken van afval'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7-raadsinformatiebrief-implementatie-van-het-grondstoffenbeleidsplan-2019-2022-en-de-financiele-ontwikkelingen-bij-het-verwerken-van-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'Implementatie van de Wet verplichte geestelijke gezondheidszorg (Wvggz)'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7-raadsinformatiebrief-implementatie-van-de-wet-verplichte-geestelijke-gezondheidszorg-wvgg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'Voortgang stedenbouwkundige visie locatie Westerwal' (LIS Raad 13-02-2020)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279,40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0-raadsinformatiebrief-voortgang-stedenbouwkundige-visie-locatie-westerw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'Nieuwe MOR-applicatie succesvol'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133,02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12-19-raadsinformatiebrief-nieuwe-mor-applicatie-succesv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'Bestuurlijk Overleg Meerjarenprogramma Infrastructuur, Ruimte en Transport (BO MIRT)'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7-raadsinformatiebrief-bestuurlijk-overleg-meerjarenprogramma-infrastructuur-ruimte-en-transport-bo-mirt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'Rapportage Q3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0-raadsinformatiebrief-rapportage-q3-ferm-werk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'Stimuleringsregeling afkoppelen hemelwater en aanleg groene daken'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290,44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0-raadsinformatiebrief-stimuleringsregeling-afkoppelen-hemelwater-en-aanleg-groene-daken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'Stand van zaken pluimveehouderij Wiltenburg'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03-raadsinformatiebrief-stand-van-zaken-pluimveehouderij-wiltenbu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3" meta:character-count="1061" meta:non-whitespace-character-count="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