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'Voortgangsrapportage van de projecten benoemd in het Masterplan Binnenstad'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1.008,47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3-27-rib-voortgangsrapportage-van-de-projecten-benoemd-in-het-masterplan-binnenstad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'Ondersteuning aan ouders en kinderen bij echtscheidingen'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3-21-raadsinformatiebrief-ondersteuning-aan-ouders-en-kinderen-bij-echtscheidinge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'Maart-RIB / Programmabegroting 2018-2021'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8-03-13-raadsinformatiebrief-maart-rib-programmabegroting-2018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'Vraag over Vennootschapsbelasting vanuit Auditcommissie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3-13-raadsinformatiebrief-vraag-over-vennootschapsbelasting-vanuit-auditcommissie-oud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'Uitbreiding formatie RBL en doorontwikkeling JOW!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3-13-raadsinformatiebrief-uitbreiding-formatie-rbl-en-doorontwikkeling-jow-oudewat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'Parkeerfonds binnenstad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3-06-rib-parkeerfonds-binnenstad-oudewater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'Breedbandinternet buitengebied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3-06-rib-breedbandinternet-buitengebied-oude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'Cliënt ervaringsonderzoek Wmo verkeerd geadresseerd'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3-07-rib-client-ervaringsonderzoek-wmo-verkeerd-geadres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18" meta:character-count="963" meta:non-whitespace-character-count="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