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CU/SGP- Onafhankelijken- en VVD/D66-fractie 'Eerst luisteren, dan besluiten'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741,91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Getekende-motie-Eerst-luisteren-dan-beslui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CDA-, VVD/D66-, Onafhankelijken- en CU/SGP-fractie 'Brief inkoopvoorwaarden onplanbare nachtzorg' (raadsvergadering 17 december 2020)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546,31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Getekende-motie-Brief-inkoopvoorwaarden-onplanbare-nacht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5" meta:character-count="416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