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vvdend66 en CDA zwaar verkeer
              <text:span text:style-name="T2"/>
            </text:p>
            <text:p text:style-name="P3"/>
          </table:table-cell>
          <table:table-cell table:style-name="Table3.A2" office:value-type="string">
            <text:p text:style-name="P4">05-08-2016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10,09 MB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motie-vvdend66-en-cda-zwaar-verke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De Onafhankelijken verlaging bruggeld Hoenkoopse brug
              <text:span text:style-name="T2"/>
            </text:p>
            <text:p text:style-name="P3"/>
          </table:table-cell>
          <table:table-cell table:style-name="Table3.A2" office:value-type="string">
            <text:p text:style-name="P4">05-08-2016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7,32 MB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motie-de-onafhankelijken-verlaging-bruggeld-hoenkoopse-bru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CDA en De Onafhankelijken blijverslening
              <text:span text:style-name="T2"/>
            </text:p>
            <text:p text:style-name="P3"/>
          </table:table-cell>
          <table:table-cell table:style-name="Table3.A2" office:value-type="string">
            <text:p text:style-name="P4">05-08-2016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175,50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motie-cda-de-onafhankelijken-blijversl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vreemd De Onafhankelijken maatschappelijke agenda
              <text:span text:style-name="T2"/>
            </text:p>
            <text:p text:style-name="P3"/>
          </table:table-cell>
          <table:table-cell table:style-name="Table3.A2" office:value-type="string">
            <text:p text:style-name="P4">05-08-2016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125,90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motie-de-onafhankelijken-maatschappelijke-agen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De Onafhankelijken 
              <text:s/>
              doelgroep ouderen - wonen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05-08-2016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125,21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motie-de-onafhankelijken-doelgroep-ouderen-wonen-en-voorzien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CU/SGP 
              <text:s/>
              Starterswoningen
              <text:span text:style-name="T2"/>
            </text:p>
            <text:p text:style-name="P3"/>
          </table:table-cell>
          <table:table-cell table:style-name="Table3.A2" office:value-type="string">
            <text:p text:style-name="P4">05-08-2016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154,72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motie-cu-sgp-woonvisie-starterswo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Schuylenburcht
              <text:span text:style-name="T2"/>
            </text:p>
            <text:p text:style-name="P3"/>
          </table:table-cell>
          <table:table-cell table:style-name="Table3.A2" office:value-type="string">
            <text:p text:style-name="P4">05-08-2016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139,60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motie-cda-schuylenbur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1" meta:character-count="660" meta:non-whitespace-character-count="6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