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1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17:12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CDA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29-10-2015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57,43 KB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getekende-motie-vluchtel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CDA archeologiebeleid
              <text:span text:style-name="T2"/>
            </text:p>
            <text:p text:style-name="P3"/>
          </table:table-cell>
          <table:table-cell table:style-name="Table3.A2" office:value-type="string">
            <text:p text:style-name="P4">13-10-2015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82,50 KB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motie-cda-archeologiebelei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De Onafhankelijken Extra formatie welzijn Oudewater 2015
              <text:span text:style-name="T2"/>
            </text:p>
            <text:p text:style-name="P3"/>
          </table:table-cell>
          <table:table-cell table:style-name="Table3.A2" office:value-type="string">
            <text:p text:style-name="P4">13-10-2015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80,14 KB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motie-onafhankelijken-agendapunt-6-extra-formatie-welzijn-oudewat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De Onafhankelijken, CU/SGP, VVD/D66 inzake ambtelijke samenwerking met Woerden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123,77 KB</text:p>
          </table:table-cell>
          <table:table-cell table:style-name="Table3.A2" office:value-type="string">
            <text:p text:style-name="P22">
              <text:a xlink:type="simple" xlink:href="http://gemeenteraad.oudewater.nl/stukken/aangenomen-moties-gemeenteraad/motie-vvdd66-cusgp-onafhankelijken-ambtelijke-samenwerking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8" meta:character-count="449" meta:non-whitespace-character-count="4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