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C12. schriftelijke art32 vragen CUSGP - herontwikkeling Stomerij de Wit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ingekomen-stukken/C12-schriftelijke-art32-vragen-CUSGP-herontwikkeling-Stormerij-de-W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C09. schriftelijke art32 vragen ONAFH Groenbeheer prikkelstruiken in woonwijken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ingekomen-stukken/C09-schriftelijke-art32-vragen-ONAFH-Groenbeheer-prikkelstruiken-in-woonwij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C06. schriftelijke art32 vragen VVD - Voortgang uitvoering Spreidingswet en situatie Brede Dijk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ingekomen-stukken/C06-schriftelijke-art32-vragen-VVD-Voortgang-uitvoering-Spreidingswet-en-situatie-Brede-Dij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C07. schriftelijke art32 vragen PO - E-mailprotocol Gemeenten Woerden &amp;amp; Oudewater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327,98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ingekomen-stukken/C07-schriftelijke-art32-vragen-PO-E-mailprotocol-Gemeenten-Woerden-Oudewat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C08. schriftelijke art32 vragen CUSGP - Situatie bestrating St. Jansstraat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ingekomen-stukken/C08-schriftelijke-art32-vragen-CUSGP-Situatie-bestrating-St-Jansstraa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6" meta:character-count="697" meta:non-whitespace-character-count="6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