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'Oude Touwfabriek'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0-22-sv-cda-oude-touwfabr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CDA-fractie inzake 'Plan van Aanpak Ruimtelijk Economisch Perspectief en programma'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0-08-beantwoording-sv-cda-plan-van-aanpak-ruimtelijk-economisch-perspectief-en-programma-merg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CU/SGP-fractie inzake 'Lachgasgebruik in de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0-01-beantwoording-sv-cusgp-lachgasgebruik-in-de-gemeente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501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