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'Armoedebestrijding onder kinderen'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'Wijziging OZB verenigingen'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'Bijenstand in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'Overlast fietsenstallingen'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8-11-30-sv-cda-armoedebestrijding-onder-kinderen.pdf" TargetMode="External" /><Relationship Id="rId26" Type="http://schemas.openxmlformats.org/officeDocument/2006/relationships/hyperlink" Target="http://gemeenteraad.oudewater.nl/stukken/Schriftelijke-vragen-art-32-RvO/2018-11-18-sv-cda-wijziging-ozb-verenigingen.pdf" TargetMode="External" /><Relationship Id="rId27" Type="http://schemas.openxmlformats.org/officeDocument/2006/relationships/hyperlink" Target="http://gemeenteraad.oudewater.nl/stukken/Schriftelijke-vragen-art-32-RvO/2018-11-06-beantwoording-sv-cusgp-bijenstand-in-oudewater-beantwoording-1.pdf" TargetMode="External" /><Relationship Id="rId28" Type="http://schemas.openxmlformats.org/officeDocument/2006/relationships/hyperlink" Target="http://gemeenteraad.oudewater.nl/stukken/Schriftelijke-vragen-art-32-RvO/2018-11-06-sv-onafhankelijken-overlast-fietsenstallingen-beantwoording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