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samenleving 12 oktober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12-oktobe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ruimte van 13 oktober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ruimte-van-13-oktobe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forum ruimte 8 september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995,79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ruimte-8-september-2015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forum ruimte 8 september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ruimte-8-september-201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forum samenleving 7 september 2015 (vastgesteld).pdf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873,28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7-september-2015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verslag forum samenleving 22 juni 2015 (vastgesteld).pdf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918,23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22-juni-2015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Verslag forum Samenleving-Ruimte 1 juni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10-10-2015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3-verslag-vh-gecombineerde-forum-van-1-jun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1" meta:character-count="709" meta:non-whitespace-character-count="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